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862" w:firstLineChars="792"/>
        <w:rPr>
          <w:b/>
          <w:sz w:val="36"/>
          <w:szCs w:val="36"/>
        </w:rPr>
      </w:pPr>
      <w:bookmarkStart w:id="0" w:name="_GoBack"/>
      <w:bookmarkEnd w:id="0"/>
      <w:r>
        <w:rPr>
          <w:rFonts w:hint="eastAsia"/>
          <w:b/>
          <w:sz w:val="36"/>
          <w:szCs w:val="36"/>
        </w:rPr>
        <w:t>土木工程学院</w:t>
      </w:r>
    </w:p>
    <w:p>
      <w:pPr>
        <w:jc w:val="center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接收转专业学生考核办法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根据学校要求，本着“以人为本”及“公平、公正、公开”的原则，土木工程学院考核组对拟转入我院土木工程类专业（包括土木工程专业、工程管理专业、建筑环境与能源应用工程专业、城乡规划专业）的学生进行考核，具体实施办法如下：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hint="eastAsia" w:ascii="宋体" w:hAnsi="宋体"/>
          <w:szCs w:val="21"/>
        </w:rPr>
        <w:t>．参加考核学生必须具备以下条件：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(1) </w:t>
      </w:r>
      <w:r>
        <w:rPr>
          <w:rFonts w:hint="eastAsia" w:ascii="宋体" w:hAnsi="宋体"/>
          <w:szCs w:val="21"/>
        </w:rPr>
        <w:t>原专业为学校按一表分数线招收的理工科专业。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 xml:space="preserve">(2) </w:t>
      </w:r>
      <w:r>
        <w:rPr>
          <w:rFonts w:hint="eastAsia" w:ascii="宋体" w:hAnsi="宋体"/>
          <w:szCs w:val="21"/>
        </w:rPr>
        <w:t>符合学校规定的转专业条件。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t>．参加考核的学生应携带学生证、转专业申请获准参加考核的证明、原专业学习已考核过的全部课程成绩单（需加盖原学院或教务处公章）及学校规定的其它相关证明参加考核。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hint="eastAsia" w:ascii="宋体" w:hAnsi="宋体"/>
          <w:szCs w:val="21"/>
        </w:rPr>
        <w:t>．考核形式采取面试和原专业学习成绩相结合的形式进行，原专业学习成绩以提供的成绩单为准，面试主要考核内容及评分比例如下：</w:t>
      </w:r>
    </w:p>
    <w:tbl>
      <w:tblPr>
        <w:tblStyle w:val="6"/>
        <w:tblW w:w="83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8"/>
        <w:gridCol w:w="27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核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内</w:t>
            </w:r>
            <w:r>
              <w:rPr>
                <w:rFonts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>容</w:t>
            </w:r>
          </w:p>
        </w:tc>
        <w:tc>
          <w:tcPr>
            <w:tcW w:w="2700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对土木工程类专业的认识和兴趣</w:t>
            </w:r>
          </w:p>
        </w:tc>
        <w:tc>
          <w:tcPr>
            <w:tcW w:w="270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所具备土木工程类专业学习的基础和能力</w:t>
            </w:r>
          </w:p>
        </w:tc>
        <w:tc>
          <w:tcPr>
            <w:tcW w:w="270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今后的土木工程类专业学习计划</w:t>
            </w:r>
          </w:p>
        </w:tc>
        <w:tc>
          <w:tcPr>
            <w:tcW w:w="270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将来从事本专业的意愿和志向</w:t>
            </w:r>
          </w:p>
        </w:tc>
        <w:tc>
          <w:tcPr>
            <w:tcW w:w="270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88" w:type="dxa"/>
          </w:tcPr>
          <w:p>
            <w:pPr>
              <w:spacing w:line="360" w:lineRule="auto"/>
              <w:jc w:val="center"/>
              <w:rPr>
                <w:rFonts w:asci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</w:t>
            </w:r>
            <w:r>
              <w:rPr>
                <w:rFonts w:ascii="宋体" w:hAnsi="宋体"/>
                <w:szCs w:val="21"/>
              </w:rPr>
              <w:t xml:space="preserve">    </w:t>
            </w:r>
            <w:r>
              <w:rPr>
                <w:rFonts w:hint="eastAsia" w:ascii="宋体" w:hAnsi="宋体"/>
                <w:szCs w:val="21"/>
              </w:rPr>
              <w:t>计</w:t>
            </w:r>
          </w:p>
        </w:tc>
        <w:tc>
          <w:tcPr>
            <w:tcW w:w="2700" w:type="dxa"/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100</w:t>
            </w:r>
          </w:p>
        </w:tc>
      </w:tr>
    </w:tbl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hint="eastAsia" w:ascii="宋体" w:hAnsi="宋体"/>
          <w:szCs w:val="21"/>
        </w:rPr>
        <w:t>．最终成绩评定：</w:t>
      </w:r>
    </w:p>
    <w:p>
      <w:pPr>
        <w:spacing w:line="360" w:lineRule="auto"/>
        <w:ind w:firstLine="420" w:firstLineChars="20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对于面试成绩低于</w:t>
      </w:r>
      <w:r>
        <w:rPr>
          <w:rFonts w:ascii="宋体" w:hAnsi="宋体"/>
          <w:szCs w:val="21"/>
        </w:rPr>
        <w:t>60</w:t>
      </w:r>
      <w:r>
        <w:rPr>
          <w:rFonts w:hint="eastAsia" w:ascii="宋体" w:hAnsi="宋体"/>
          <w:szCs w:val="21"/>
        </w:rPr>
        <w:t>分者视为考核未通过，对于面试成绩在</w:t>
      </w:r>
      <w:r>
        <w:rPr>
          <w:rFonts w:ascii="宋体" w:hAnsi="宋体"/>
          <w:szCs w:val="21"/>
        </w:rPr>
        <w:t>60</w:t>
      </w:r>
      <w:r>
        <w:rPr>
          <w:rFonts w:hint="eastAsia" w:ascii="宋体" w:hAnsi="宋体"/>
          <w:szCs w:val="21"/>
        </w:rPr>
        <w:t>分以上（含</w:t>
      </w:r>
      <w:r>
        <w:rPr>
          <w:rFonts w:ascii="宋体" w:hAnsi="宋体"/>
          <w:szCs w:val="21"/>
        </w:rPr>
        <w:t>60</w:t>
      </w:r>
      <w:r>
        <w:rPr>
          <w:rFonts w:hint="eastAsia" w:ascii="宋体" w:hAnsi="宋体"/>
          <w:szCs w:val="21"/>
        </w:rPr>
        <w:t>分）者按面试成绩的</w:t>
      </w:r>
      <w:r>
        <w:rPr>
          <w:rFonts w:ascii="宋体" w:hAnsi="宋体"/>
          <w:szCs w:val="21"/>
        </w:rPr>
        <w:t>30</w:t>
      </w:r>
      <w:r>
        <w:rPr>
          <w:rFonts w:hint="eastAsia" w:ascii="宋体" w:hAnsi="宋体"/>
          <w:szCs w:val="21"/>
        </w:rPr>
        <w:t>％＋原专业数学成绩的</w:t>
      </w:r>
      <w:r>
        <w:rPr>
          <w:rFonts w:ascii="宋体" w:hAnsi="宋体"/>
          <w:szCs w:val="21"/>
        </w:rPr>
        <w:t>30</w:t>
      </w:r>
      <w:r>
        <w:rPr>
          <w:rFonts w:hint="eastAsia" w:ascii="宋体" w:hAnsi="宋体"/>
          <w:szCs w:val="21"/>
        </w:rPr>
        <w:t>％＋原专业各科加权成绩的</w:t>
      </w:r>
      <w:r>
        <w:rPr>
          <w:rFonts w:ascii="宋体" w:hAnsi="宋体"/>
          <w:szCs w:val="21"/>
        </w:rPr>
        <w:t>40</w:t>
      </w:r>
      <w:r>
        <w:rPr>
          <w:rFonts w:hint="eastAsia" w:ascii="宋体" w:hAnsi="宋体"/>
          <w:szCs w:val="21"/>
        </w:rPr>
        <w:t>％进行计算得出参加考核学生的考核成绩。(注：高数A取权值1，高数B取权值0.95，高数C取权值0.9进行折算，数学专业按数学分析成绩计算，等同高数A权值)。</w:t>
      </w:r>
    </w:p>
    <w:p>
      <w:pPr>
        <w:spacing w:line="360" w:lineRule="auto"/>
        <w:rPr>
          <w:rFonts w:ascii="宋体"/>
          <w:szCs w:val="21"/>
        </w:rPr>
      </w:pPr>
      <w:r>
        <w:rPr>
          <w:rFonts w:ascii="宋体" w:hAnsi="宋体"/>
          <w:szCs w:val="21"/>
        </w:rPr>
        <w:t>5</w:t>
      </w:r>
      <w:r>
        <w:rPr>
          <w:rFonts w:hint="eastAsia" w:ascii="宋体" w:hAnsi="宋体"/>
          <w:szCs w:val="21"/>
        </w:rPr>
        <w:t>、对于下列情况给予特殊加分（</w:t>
      </w:r>
      <w:r>
        <w:rPr>
          <w:rFonts w:ascii="宋体" w:hAnsi="宋体"/>
          <w:szCs w:val="21"/>
        </w:rPr>
        <w:t>直接加在总分</w:t>
      </w:r>
      <w:r>
        <w:rPr>
          <w:rFonts w:hint="eastAsia" w:ascii="宋体" w:hAnsi="宋体"/>
          <w:szCs w:val="21"/>
        </w:rPr>
        <w:t>上</w:t>
      </w:r>
      <w:r>
        <w:rPr>
          <w:rFonts w:ascii="宋体" w:hAnsi="宋体"/>
          <w:szCs w:val="21"/>
        </w:rPr>
        <w:t>)</w:t>
      </w:r>
    </w:p>
    <w:tbl>
      <w:tblPr>
        <w:tblStyle w:val="6"/>
        <w:tblW w:w="833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5953"/>
        <w:gridCol w:w="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/>
                <w:kern w:val="0"/>
                <w:sz w:val="20"/>
                <w:szCs w:val="21"/>
              </w:rPr>
            </w:pPr>
            <w:r>
              <w:rPr>
                <w:rFonts w:hint="eastAsia" w:ascii="宋体"/>
                <w:kern w:val="0"/>
                <w:sz w:val="20"/>
                <w:szCs w:val="21"/>
              </w:rPr>
              <w:t>专业</w:t>
            </w:r>
            <w:r>
              <w:rPr>
                <w:rFonts w:ascii="宋体"/>
                <w:kern w:val="0"/>
                <w:sz w:val="20"/>
                <w:szCs w:val="21"/>
              </w:rPr>
              <w:t>名称</w:t>
            </w:r>
          </w:p>
        </w:tc>
        <w:tc>
          <w:tcPr>
            <w:tcW w:w="5953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/>
                <w:kern w:val="0"/>
                <w:sz w:val="20"/>
                <w:szCs w:val="21"/>
              </w:rPr>
            </w:pPr>
            <w:r>
              <w:rPr>
                <w:rFonts w:hint="eastAsia" w:ascii="宋体"/>
                <w:kern w:val="0"/>
                <w:sz w:val="20"/>
                <w:szCs w:val="21"/>
              </w:rPr>
              <w:t>加分</w:t>
            </w:r>
            <w:r>
              <w:rPr>
                <w:rFonts w:ascii="宋体"/>
                <w:kern w:val="0"/>
                <w:sz w:val="20"/>
                <w:szCs w:val="21"/>
              </w:rPr>
              <w:t>项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line="360" w:lineRule="auto"/>
              <w:rPr>
                <w:rFonts w:ascii="宋体"/>
                <w:kern w:val="0"/>
                <w:sz w:val="20"/>
                <w:szCs w:val="21"/>
              </w:rPr>
            </w:pPr>
            <w:r>
              <w:rPr>
                <w:rFonts w:hint="eastAsia" w:ascii="宋体"/>
                <w:kern w:val="0"/>
                <w:sz w:val="20"/>
                <w:szCs w:val="21"/>
              </w:rPr>
              <w:t>加分值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工程管理</w:t>
            </w:r>
          </w:p>
        </w:tc>
        <w:tc>
          <w:tcPr>
            <w:tcW w:w="5953" w:type="dxa"/>
            <w:shd w:val="clear" w:color="auto" w:fill="auto"/>
          </w:tcPr>
          <w:p>
            <w:pPr>
              <w:spacing w:line="360" w:lineRule="auto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英语成绩突出的学生（专业前</w:t>
            </w:r>
            <w:r>
              <w:rPr>
                <w:rFonts w:ascii="宋体" w:hAnsi="宋体"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名，或有其他的证明材料，经考核组认定）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/>
                <w:kern w:val="0"/>
                <w:sz w:val="20"/>
                <w:szCs w:val="21"/>
              </w:rPr>
            </w:pPr>
            <w:r>
              <w:rPr>
                <w:rFonts w:hint="eastAsia" w:ascii="宋体"/>
                <w:kern w:val="0"/>
                <w:sz w:val="2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continue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kern w:val="0"/>
                <w:szCs w:val="21"/>
              </w:rPr>
            </w:pPr>
          </w:p>
        </w:tc>
        <w:tc>
          <w:tcPr>
            <w:tcW w:w="5953" w:type="dxa"/>
            <w:shd w:val="clear" w:color="auto" w:fill="auto"/>
          </w:tcPr>
          <w:p>
            <w:pPr>
              <w:spacing w:line="360" w:lineRule="auto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高考成绩超过所在省份一表分数线</w:t>
            </w:r>
            <w:r>
              <w:rPr>
                <w:rFonts w:ascii="宋体" w:hAnsi="宋体"/>
                <w:kern w:val="0"/>
                <w:sz w:val="18"/>
                <w:szCs w:val="18"/>
              </w:rPr>
              <w:t>50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分以上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/>
                <w:kern w:val="0"/>
                <w:sz w:val="20"/>
                <w:szCs w:val="21"/>
              </w:rPr>
            </w:pPr>
            <w:r>
              <w:rPr>
                <w:rFonts w:hint="eastAsia" w:ascii="宋体"/>
                <w:kern w:val="0"/>
                <w:sz w:val="2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restart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宋体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城乡规划</w:t>
            </w:r>
          </w:p>
        </w:tc>
        <w:tc>
          <w:tcPr>
            <w:tcW w:w="5953" w:type="dxa"/>
            <w:shd w:val="clear" w:color="auto" w:fill="auto"/>
          </w:tcPr>
          <w:p>
            <w:pPr>
              <w:spacing w:line="360" w:lineRule="auto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英语成绩突出的学生（专业前</w:t>
            </w:r>
            <w:r>
              <w:rPr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名，或有其他的证明材料，经考核组认定）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/>
                <w:kern w:val="0"/>
                <w:sz w:val="20"/>
                <w:szCs w:val="21"/>
              </w:rPr>
            </w:pPr>
            <w:r>
              <w:rPr>
                <w:rFonts w:hint="eastAsia" w:ascii="宋体"/>
                <w:kern w:val="0"/>
                <w:sz w:val="2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continue"/>
            <w:shd w:val="clear" w:color="auto" w:fill="auto"/>
          </w:tcPr>
          <w:p>
            <w:pPr>
              <w:spacing w:line="360" w:lineRule="auto"/>
              <w:rPr>
                <w:rFonts w:ascii="宋体"/>
                <w:kern w:val="0"/>
                <w:sz w:val="20"/>
                <w:szCs w:val="21"/>
              </w:rPr>
            </w:pPr>
          </w:p>
        </w:tc>
        <w:tc>
          <w:tcPr>
            <w:tcW w:w="5953" w:type="dxa"/>
            <w:shd w:val="clear" w:color="auto" w:fill="auto"/>
          </w:tcPr>
          <w:p>
            <w:pPr>
              <w:spacing w:line="360" w:lineRule="auto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有美术基础并经过专业考核认定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/>
                <w:kern w:val="0"/>
                <w:sz w:val="20"/>
                <w:szCs w:val="21"/>
              </w:rPr>
            </w:pPr>
            <w:r>
              <w:rPr>
                <w:rFonts w:hint="eastAsia" w:ascii="宋体"/>
                <w:kern w:val="0"/>
                <w:sz w:val="20"/>
                <w:szCs w:val="21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6" w:type="dxa"/>
            <w:vMerge w:val="continue"/>
            <w:shd w:val="clear" w:color="auto" w:fill="auto"/>
          </w:tcPr>
          <w:p>
            <w:pPr>
              <w:spacing w:line="360" w:lineRule="auto"/>
              <w:rPr>
                <w:rFonts w:ascii="宋体"/>
                <w:kern w:val="0"/>
                <w:sz w:val="20"/>
                <w:szCs w:val="21"/>
              </w:rPr>
            </w:pPr>
          </w:p>
        </w:tc>
        <w:tc>
          <w:tcPr>
            <w:tcW w:w="5953" w:type="dxa"/>
            <w:shd w:val="clear" w:color="auto" w:fill="auto"/>
          </w:tcPr>
          <w:p>
            <w:pPr>
              <w:spacing w:line="360" w:lineRule="auto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.</w:t>
            </w:r>
            <w:r>
              <w:rPr>
                <w:rFonts w:hint="eastAsia"/>
                <w:kern w:val="0"/>
                <w:sz w:val="18"/>
                <w:szCs w:val="18"/>
              </w:rPr>
              <w:t>高考成绩超过所在省份一表分数线</w:t>
            </w:r>
            <w:r>
              <w:rPr>
                <w:kern w:val="0"/>
                <w:sz w:val="18"/>
                <w:szCs w:val="18"/>
              </w:rPr>
              <w:t>50</w:t>
            </w:r>
            <w:r>
              <w:rPr>
                <w:rFonts w:hint="eastAsia"/>
                <w:kern w:val="0"/>
                <w:sz w:val="18"/>
                <w:szCs w:val="18"/>
              </w:rPr>
              <w:t>分以上的</w:t>
            </w:r>
          </w:p>
        </w:tc>
        <w:tc>
          <w:tcPr>
            <w:tcW w:w="851" w:type="dxa"/>
            <w:shd w:val="clear" w:color="auto" w:fill="auto"/>
          </w:tcPr>
          <w:p>
            <w:pPr>
              <w:spacing w:line="360" w:lineRule="auto"/>
              <w:jc w:val="center"/>
              <w:rPr>
                <w:rFonts w:ascii="宋体"/>
                <w:kern w:val="0"/>
                <w:sz w:val="20"/>
                <w:szCs w:val="21"/>
              </w:rPr>
            </w:pPr>
            <w:r>
              <w:rPr>
                <w:rFonts w:hint="eastAsia" w:ascii="宋体"/>
                <w:kern w:val="0"/>
                <w:sz w:val="20"/>
                <w:szCs w:val="21"/>
              </w:rPr>
              <w:t>1</w:t>
            </w:r>
          </w:p>
        </w:tc>
      </w:tr>
    </w:tbl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</w:t>
      </w:r>
      <w:r>
        <w:rPr>
          <w:rFonts w:ascii="仿宋_GB2312" w:eastAsia="仿宋_GB2312"/>
          <w:sz w:val="30"/>
          <w:szCs w:val="30"/>
        </w:rPr>
        <w:t>1</w:t>
      </w:r>
    </w:p>
    <w:tbl>
      <w:tblPr>
        <w:tblStyle w:val="6"/>
        <w:tblW w:w="8648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"/>
        <w:gridCol w:w="796"/>
        <w:gridCol w:w="772"/>
        <w:gridCol w:w="996"/>
        <w:gridCol w:w="1097"/>
        <w:gridCol w:w="1097"/>
        <w:gridCol w:w="1259"/>
        <w:gridCol w:w="1097"/>
        <w:gridCol w:w="1097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864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土木工程类专业接收转专业学生面试考核表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序号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学号</w:t>
            </w: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姓名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原专业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专业认识和兴趣(30分)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专业学习基础和能力(30分)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专业学习计划(20分)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专业意愿和志向(20分)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合  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3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5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6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7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8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9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11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12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13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14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16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17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18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19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20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21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22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23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24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25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3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</w:t>
            </w:r>
          </w:p>
        </w:tc>
        <w:tc>
          <w:tcPr>
            <w:tcW w:w="7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2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宋体" w:hAnsi="宋体"/>
          <w:sz w:val="28"/>
          <w:szCs w:val="28"/>
        </w:rPr>
        <w:t>考核教师：</w:t>
      </w:r>
      <w:r>
        <w:rPr>
          <w:rFonts w:ascii="宋体" w:hAnsi="宋体"/>
          <w:sz w:val="28"/>
          <w:szCs w:val="28"/>
        </w:rPr>
        <w:t xml:space="preserve">                                 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ascii="宋体" w:hAnsi="宋体"/>
          <w:sz w:val="28"/>
          <w:szCs w:val="28"/>
        </w:rPr>
        <w:t xml:space="preserve">     </w:t>
      </w:r>
      <w:r>
        <w:rPr>
          <w:rFonts w:hint="eastAsia" w:ascii="宋体" w:hAnsi="宋体"/>
          <w:sz w:val="28"/>
          <w:szCs w:val="28"/>
        </w:rPr>
        <w:t>日</w:t>
      </w:r>
    </w:p>
    <w:sectPr>
      <w:headerReference r:id="rId3" w:type="default"/>
      <w:pgSz w:w="11906" w:h="16838"/>
      <w:pgMar w:top="1304" w:right="1797" w:bottom="130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133"/>
    <w:rsid w:val="0002328A"/>
    <w:rsid w:val="0004577B"/>
    <w:rsid w:val="00061C53"/>
    <w:rsid w:val="0008735B"/>
    <w:rsid w:val="000A606B"/>
    <w:rsid w:val="000C1917"/>
    <w:rsid w:val="000F102E"/>
    <w:rsid w:val="00115616"/>
    <w:rsid w:val="00125A4B"/>
    <w:rsid w:val="001547EF"/>
    <w:rsid w:val="00170EA1"/>
    <w:rsid w:val="001967AB"/>
    <w:rsid w:val="001B02FD"/>
    <w:rsid w:val="001C135B"/>
    <w:rsid w:val="001C1F81"/>
    <w:rsid w:val="001F52F7"/>
    <w:rsid w:val="00217449"/>
    <w:rsid w:val="00222912"/>
    <w:rsid w:val="00225ACA"/>
    <w:rsid w:val="00233CE9"/>
    <w:rsid w:val="00297659"/>
    <w:rsid w:val="002F373D"/>
    <w:rsid w:val="00300E2C"/>
    <w:rsid w:val="00334DE6"/>
    <w:rsid w:val="00344BC8"/>
    <w:rsid w:val="00384966"/>
    <w:rsid w:val="00423332"/>
    <w:rsid w:val="00484F03"/>
    <w:rsid w:val="004850B2"/>
    <w:rsid w:val="0049185F"/>
    <w:rsid w:val="00491A79"/>
    <w:rsid w:val="0049790F"/>
    <w:rsid w:val="004A6E77"/>
    <w:rsid w:val="004B604A"/>
    <w:rsid w:val="004E7133"/>
    <w:rsid w:val="00510388"/>
    <w:rsid w:val="005201D5"/>
    <w:rsid w:val="00526966"/>
    <w:rsid w:val="005436D1"/>
    <w:rsid w:val="00572034"/>
    <w:rsid w:val="005B514D"/>
    <w:rsid w:val="005D05E9"/>
    <w:rsid w:val="005D3FF3"/>
    <w:rsid w:val="00622501"/>
    <w:rsid w:val="0062784F"/>
    <w:rsid w:val="006522B5"/>
    <w:rsid w:val="00687779"/>
    <w:rsid w:val="006A4442"/>
    <w:rsid w:val="006A5186"/>
    <w:rsid w:val="006C08D9"/>
    <w:rsid w:val="006C4B36"/>
    <w:rsid w:val="006D0253"/>
    <w:rsid w:val="00705D11"/>
    <w:rsid w:val="00711795"/>
    <w:rsid w:val="00724D28"/>
    <w:rsid w:val="00725E1F"/>
    <w:rsid w:val="0074170D"/>
    <w:rsid w:val="00796181"/>
    <w:rsid w:val="007A1703"/>
    <w:rsid w:val="007C04ED"/>
    <w:rsid w:val="007C225E"/>
    <w:rsid w:val="007C4D3E"/>
    <w:rsid w:val="007D32D4"/>
    <w:rsid w:val="007D75FF"/>
    <w:rsid w:val="008063D8"/>
    <w:rsid w:val="008119A8"/>
    <w:rsid w:val="008241F2"/>
    <w:rsid w:val="00830533"/>
    <w:rsid w:val="0085502D"/>
    <w:rsid w:val="00861A16"/>
    <w:rsid w:val="008D6FFA"/>
    <w:rsid w:val="008F4C66"/>
    <w:rsid w:val="00916078"/>
    <w:rsid w:val="009344D1"/>
    <w:rsid w:val="00944CE4"/>
    <w:rsid w:val="009636F7"/>
    <w:rsid w:val="00971386"/>
    <w:rsid w:val="009732D6"/>
    <w:rsid w:val="00976B68"/>
    <w:rsid w:val="00993A2E"/>
    <w:rsid w:val="0099510C"/>
    <w:rsid w:val="009A5A2B"/>
    <w:rsid w:val="009D6DDE"/>
    <w:rsid w:val="00A04FC6"/>
    <w:rsid w:val="00A0640F"/>
    <w:rsid w:val="00A37308"/>
    <w:rsid w:val="00A541BD"/>
    <w:rsid w:val="00A61DE2"/>
    <w:rsid w:val="00A61FC8"/>
    <w:rsid w:val="00A6346E"/>
    <w:rsid w:val="00A67F13"/>
    <w:rsid w:val="00A831AE"/>
    <w:rsid w:val="00A8585F"/>
    <w:rsid w:val="00AA6A1B"/>
    <w:rsid w:val="00AB159D"/>
    <w:rsid w:val="00AC435B"/>
    <w:rsid w:val="00AE0531"/>
    <w:rsid w:val="00AE78EE"/>
    <w:rsid w:val="00B16545"/>
    <w:rsid w:val="00B51D6A"/>
    <w:rsid w:val="00B72F2C"/>
    <w:rsid w:val="00B93008"/>
    <w:rsid w:val="00B977D8"/>
    <w:rsid w:val="00BC6BDA"/>
    <w:rsid w:val="00C11AA4"/>
    <w:rsid w:val="00C24941"/>
    <w:rsid w:val="00C44690"/>
    <w:rsid w:val="00C855ED"/>
    <w:rsid w:val="00CA4933"/>
    <w:rsid w:val="00CA7E3E"/>
    <w:rsid w:val="00CD5619"/>
    <w:rsid w:val="00D1764F"/>
    <w:rsid w:val="00D4614D"/>
    <w:rsid w:val="00D61CB7"/>
    <w:rsid w:val="00DA2DA5"/>
    <w:rsid w:val="00DC43EC"/>
    <w:rsid w:val="00DC6525"/>
    <w:rsid w:val="00DE0EEB"/>
    <w:rsid w:val="00E12BC9"/>
    <w:rsid w:val="00E86800"/>
    <w:rsid w:val="00EA0B20"/>
    <w:rsid w:val="00ED0278"/>
    <w:rsid w:val="00EE5688"/>
    <w:rsid w:val="00EE7E67"/>
    <w:rsid w:val="00EF77A9"/>
    <w:rsid w:val="00F51725"/>
    <w:rsid w:val="00F575AA"/>
    <w:rsid w:val="00F6122E"/>
    <w:rsid w:val="00F8159E"/>
    <w:rsid w:val="00F87844"/>
    <w:rsid w:val="00F9596E"/>
    <w:rsid w:val="00FC69E9"/>
    <w:rsid w:val="00FD00F1"/>
    <w:rsid w:val="00FD0FA6"/>
    <w:rsid w:val="40D2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link w:val="2"/>
    <w:semiHidden/>
    <w:locked/>
    <w:uiPriority w:val="99"/>
    <w:rPr>
      <w:rFonts w:cs="Times New Roman"/>
      <w:sz w:val="2"/>
    </w:rPr>
  </w:style>
  <w:style w:type="character" w:customStyle="1" w:styleId="9">
    <w:name w:val="页眉 Char"/>
    <w:link w:val="4"/>
    <w:uiPriority w:val="99"/>
    <w:rPr>
      <w:kern w:val="2"/>
      <w:sz w:val="18"/>
      <w:szCs w:val="18"/>
    </w:rPr>
  </w:style>
  <w:style w:type="character" w:customStyle="1" w:styleId="10">
    <w:name w:val="页脚 Char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204</Words>
  <Characters>1166</Characters>
  <Lines>9</Lines>
  <Paragraphs>2</Paragraphs>
  <ScaleCrop>false</ScaleCrop>
  <LinksUpToDate>false</LinksUpToDate>
  <CharactersWithSpaces>1368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2016-04-21T03:38:00Z</dcterms:created>
  <dc:creator>微软用户</dc:creator>
  <cp:lastModifiedBy>Administrator</cp:lastModifiedBy>
  <cp:lastPrinted>2017-05-23T06:46:45Z</cp:lastPrinted>
  <dcterms:modified xsi:type="dcterms:W3CDTF">2017-05-23T06:47:02Z</dcterms:modified>
  <dc:title>土木工程专业接收转专业学生考核办法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